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TimesNewRoman" w:hAnsi="TimesNewRoman" w:eastAsia="黑体" w:cs="TimesNewRoman"/>
          <w:szCs w:val="32"/>
          <w:lang w:val="en"/>
        </w:rPr>
      </w:pPr>
      <w:bookmarkStart w:id="0" w:name="_GoBack"/>
      <w:bookmarkEnd w:id="0"/>
      <w:r>
        <w:rPr>
          <w:rFonts w:hint="eastAsia" w:ascii="TimesNewRoman" w:hAnsi="TimesNewRoman" w:eastAsia="黑体" w:cs="TimesNewRoman"/>
          <w:szCs w:val="32"/>
          <w:lang w:val="en"/>
        </w:rPr>
        <w:t>附件5</w:t>
      </w:r>
    </w:p>
    <w:p>
      <w:pPr>
        <w:ind w:firstLine="723" w:firstLineChars="200"/>
        <w:jc w:val="both"/>
        <w:rPr>
          <w:rFonts w:hint="eastAsia"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淮北市</w:t>
      </w:r>
      <w:r>
        <w:rPr>
          <w:rFonts w:hint="eastAsia" w:ascii="华文中宋" w:hAnsi="华文中宋" w:eastAsia="华文中宋"/>
          <w:b/>
          <w:sz w:val="36"/>
          <w:szCs w:val="36"/>
          <w:lang w:eastAsia="zh-CN"/>
        </w:rPr>
        <w:t>应急管理局</w:t>
      </w:r>
      <w:r>
        <w:rPr>
          <w:rFonts w:ascii="华文中宋" w:hAnsi="华文中宋" w:eastAsia="华文中宋"/>
          <w:b/>
          <w:sz w:val="36"/>
          <w:szCs w:val="36"/>
        </w:rPr>
        <w:t>2024年</w:t>
      </w:r>
      <w:r>
        <w:rPr>
          <w:rFonts w:hint="eastAsia" w:ascii="华文中宋" w:hAnsi="华文中宋" w:eastAsia="华文中宋"/>
          <w:b/>
          <w:sz w:val="36"/>
          <w:szCs w:val="36"/>
          <w:lang w:eastAsia="zh-CN"/>
        </w:rPr>
        <w:t>二</w:t>
      </w:r>
      <w:r>
        <w:rPr>
          <w:rFonts w:ascii="华文中宋" w:hAnsi="华文中宋" w:eastAsia="华文中宋"/>
          <w:b/>
          <w:sz w:val="36"/>
          <w:szCs w:val="36"/>
        </w:rPr>
        <w:t>季度</w:t>
      </w:r>
      <w:r>
        <w:rPr>
          <w:rFonts w:hint="eastAsia" w:ascii="华文中宋" w:hAnsi="华文中宋" w:eastAsia="华文中宋"/>
          <w:b/>
          <w:sz w:val="36"/>
          <w:szCs w:val="36"/>
        </w:rPr>
        <w:t>末市</w:t>
      </w:r>
      <w:r>
        <w:rPr>
          <w:rFonts w:ascii="华文中宋" w:hAnsi="华文中宋" w:eastAsia="华文中宋"/>
          <w:b/>
          <w:sz w:val="36"/>
          <w:szCs w:val="36"/>
        </w:rPr>
        <w:t>级</w:t>
      </w:r>
    </w:p>
    <w:p>
      <w:pPr>
        <w:jc w:val="center"/>
        <w:rPr>
          <w:rFonts w:hint="eastAsia" w:ascii="华文中宋" w:hAnsi="华文中宋" w:eastAsia="华文中宋"/>
          <w:b/>
          <w:sz w:val="36"/>
          <w:szCs w:val="36"/>
        </w:rPr>
      </w:pPr>
      <w:r>
        <w:rPr>
          <w:rFonts w:ascii="华文中宋" w:hAnsi="华文中宋" w:eastAsia="华文中宋"/>
          <w:b/>
          <w:sz w:val="36"/>
          <w:szCs w:val="36"/>
        </w:rPr>
        <w:t>一般公共预算执行情况</w:t>
      </w:r>
    </w:p>
    <w:p>
      <w:pPr>
        <w:jc w:val="center"/>
        <w:rPr>
          <w:rFonts w:hint="eastAsia" w:ascii="华文中宋" w:hAnsi="华文中宋" w:eastAsia="华文中宋"/>
          <w:b/>
          <w:sz w:val="36"/>
          <w:szCs w:val="36"/>
        </w:rPr>
      </w:pPr>
    </w:p>
    <w:p>
      <w:pPr>
        <w:ind w:firstLine="640" w:firstLineChars="200"/>
        <w:outlineLvl w:val="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一、2024年</w:t>
      </w:r>
      <w:r>
        <w:rPr>
          <w:rFonts w:hint="eastAsia" w:ascii="黑体" w:hAnsi="黑体" w:eastAsia="黑体"/>
          <w:sz w:val="32"/>
          <w:szCs w:val="32"/>
          <w:lang w:eastAsia="zh-CN"/>
        </w:rPr>
        <w:t>二</w:t>
      </w:r>
      <w:r>
        <w:rPr>
          <w:rFonts w:hint="eastAsia" w:ascii="黑体" w:hAnsi="黑体" w:eastAsia="黑体"/>
          <w:sz w:val="32"/>
          <w:szCs w:val="32"/>
        </w:rPr>
        <w:t>季度一般公共预算执行情况表</w:t>
      </w:r>
    </w:p>
    <w:p>
      <w:pPr>
        <w:ind w:firstLine="640" w:firstLineChars="200"/>
        <w:outlineLvl w:val="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                                          </w:t>
      </w:r>
      <w:r>
        <w:rPr>
          <w:rStyle w:val="4"/>
          <w:rFonts w:hint="eastAsia" w:ascii="宋体" w:hAnsi="宋体"/>
          <w:b w:val="0"/>
          <w:bCs w:val="0"/>
          <w:szCs w:val="21"/>
        </w:rPr>
        <w:t>单位：万元</w:t>
      </w:r>
    </w:p>
    <w:tbl>
      <w:tblPr>
        <w:tblStyle w:val="2"/>
        <w:tblW w:w="8820" w:type="dxa"/>
        <w:tblInd w:w="93" w:type="dxa"/>
        <w:tblLayout w:type="autofit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1665"/>
        <w:gridCol w:w="1860"/>
        <w:gridCol w:w="1890"/>
        <w:gridCol w:w="1800"/>
        <w:gridCol w:w="1605"/>
      </w:tblGrid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95" w:hRule="atLeast"/>
        </w:trPr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类级科目代码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类级科目名称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一般公共</w:t>
            </w:r>
          </w:p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预算安排数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一般公共</w:t>
            </w:r>
          </w:p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预算执行数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Arial"/>
                <w:b/>
                <w:bCs/>
                <w:color w:val="000000"/>
                <w:kern w:val="0"/>
                <w:sz w:val="22"/>
                <w:szCs w:val="22"/>
              </w:rPr>
              <w:t>预算执行进度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95" w:hRule="atLeast"/>
        </w:trPr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224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  <w:lang w:eastAsia="zh-CN"/>
              </w:rPr>
              <w:t>灾害防治及应急管理支出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  <w:t>1958.75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951.85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48.59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  <w:t>%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95" w:hRule="atLeast"/>
        </w:trPr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20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  <w:lang w:eastAsia="zh-CN"/>
              </w:rPr>
              <w:t>社会保障和就业支出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  <w:t>285.98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142.38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49.79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  <w:t>%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95" w:hRule="atLeast"/>
        </w:trPr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221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  <w:lang w:eastAsia="zh-CN"/>
              </w:rPr>
              <w:t>住房保障支出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  <w:t>231.77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112.01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48.33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  <w:t>%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95" w:hRule="atLeast"/>
        </w:trPr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210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  <w:lang w:eastAsia="zh-CN"/>
              </w:rPr>
              <w:t>卫生健康支出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  <w:t>67.67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31.47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46.51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  <w:t>%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60" w:hRule="atLeast"/>
        </w:trPr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95" w:hRule="atLeast"/>
        </w:trPr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95" w:hRule="atLeast"/>
        </w:trPr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95" w:hRule="atLeast"/>
        </w:trPr>
        <w:tc>
          <w:tcPr>
            <w:tcW w:w="35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  <w:t>2544.17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1237.71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48.65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  <w:t>%</w:t>
            </w:r>
          </w:p>
        </w:tc>
      </w:tr>
    </w:tbl>
    <w:p>
      <w:pPr>
        <w:outlineLvl w:val="0"/>
        <w:rPr>
          <w:rFonts w:hint="eastAsia" w:ascii="仿宋_GB2312" w:hAnsi="仿宋" w:eastAsia="仿宋_GB2312"/>
          <w:sz w:val="32"/>
          <w:szCs w:val="32"/>
        </w:rPr>
      </w:pPr>
    </w:p>
    <w:p>
      <w:pPr>
        <w:ind w:firstLine="640" w:firstLineChars="200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二、2024年</w:t>
      </w:r>
      <w:r>
        <w:rPr>
          <w:rFonts w:hint="eastAsia" w:ascii="黑体" w:hAnsi="黑体" w:eastAsia="黑体"/>
          <w:sz w:val="32"/>
          <w:szCs w:val="32"/>
          <w:lang w:eastAsia="zh-CN"/>
        </w:rPr>
        <w:t>二</w:t>
      </w:r>
      <w:r>
        <w:rPr>
          <w:rFonts w:hint="eastAsia" w:ascii="黑体" w:hAnsi="黑体" w:eastAsia="黑体"/>
          <w:sz w:val="32"/>
          <w:szCs w:val="32"/>
        </w:rPr>
        <w:t>季度一般公共预算执行情况说明</w:t>
      </w:r>
    </w:p>
    <w:p>
      <w:pPr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淮北市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应急管理局</w:t>
      </w:r>
      <w:r>
        <w:rPr>
          <w:rFonts w:ascii="仿宋_GB2312" w:hAnsi="仿宋" w:eastAsia="仿宋_GB2312"/>
          <w:sz w:val="32"/>
          <w:szCs w:val="32"/>
        </w:rPr>
        <w:t>2024年</w:t>
      </w:r>
      <w:r>
        <w:rPr>
          <w:rFonts w:hint="eastAsia" w:ascii="仿宋_GB2312" w:hAnsi="仿宋" w:eastAsia="仿宋_GB2312"/>
          <w:sz w:val="32"/>
          <w:szCs w:val="32"/>
        </w:rPr>
        <w:t>市</w:t>
      </w:r>
      <w:r>
        <w:rPr>
          <w:rFonts w:ascii="仿宋_GB2312" w:hAnsi="仿宋" w:eastAsia="仿宋_GB2312"/>
          <w:sz w:val="32"/>
          <w:szCs w:val="32"/>
        </w:rPr>
        <w:t>级一般公共预算安排数为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2544.17</w:t>
      </w:r>
      <w:r>
        <w:rPr>
          <w:rFonts w:ascii="仿宋_GB2312" w:hAnsi="仿宋" w:eastAsia="仿宋_GB2312"/>
          <w:sz w:val="32"/>
          <w:szCs w:val="32"/>
        </w:rPr>
        <w:t>万元，截至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</w:t>
      </w:r>
      <w:r>
        <w:rPr>
          <w:rFonts w:ascii="仿宋_GB2312" w:hAnsi="仿宋" w:eastAsia="仿宋_GB2312"/>
          <w:sz w:val="32"/>
          <w:szCs w:val="32"/>
        </w:rPr>
        <w:t>季度末，</w:t>
      </w:r>
      <w:r>
        <w:rPr>
          <w:rFonts w:hint="eastAsia" w:ascii="仿宋_GB2312" w:hAnsi="仿宋" w:eastAsia="仿宋_GB2312"/>
          <w:sz w:val="32"/>
          <w:szCs w:val="32"/>
        </w:rPr>
        <w:t>市</w:t>
      </w:r>
      <w:r>
        <w:rPr>
          <w:rFonts w:ascii="仿宋_GB2312" w:hAnsi="仿宋" w:eastAsia="仿宋_GB2312"/>
          <w:sz w:val="32"/>
          <w:szCs w:val="32"/>
        </w:rPr>
        <w:t>级一般公共预算执行数为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1237.71</w:t>
      </w:r>
      <w:r>
        <w:rPr>
          <w:rFonts w:ascii="仿宋_GB2312" w:hAnsi="仿宋" w:eastAsia="仿宋_GB2312"/>
          <w:sz w:val="32"/>
          <w:szCs w:val="32"/>
        </w:rPr>
        <w:t>万元，预算执行进度为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48.65</w:t>
      </w:r>
      <w:r>
        <w:rPr>
          <w:rFonts w:ascii="仿宋_GB2312" w:hAnsi="仿宋" w:eastAsia="仿宋_GB2312"/>
          <w:sz w:val="32"/>
          <w:szCs w:val="32"/>
        </w:rPr>
        <w:t>%，预算执行进度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略</w:t>
      </w:r>
      <w:r>
        <w:rPr>
          <w:rFonts w:ascii="仿宋_GB2312" w:hAnsi="仿宋" w:eastAsia="仿宋_GB2312"/>
          <w:sz w:val="32"/>
          <w:szCs w:val="32"/>
        </w:rPr>
        <w:t>低于序时进度，主要是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综合减灾示范社区创建工作经费及防灾救灾工作经费两项目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资金支付进度为零</w:t>
      </w:r>
      <w:r>
        <w:rPr>
          <w:rFonts w:ascii="仿宋_GB2312" w:hAnsi="仿宋" w:eastAsia="仿宋_GB2312"/>
          <w:sz w:val="32"/>
          <w:szCs w:val="32"/>
        </w:rPr>
        <w:t>。</w:t>
      </w:r>
    </w:p>
    <w:p>
      <w:pPr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imesNewRoman">
    <w:altName w:val="Segoe Print"/>
    <w:panose1 w:val="00000000000000000000"/>
    <w:charset w:val="00"/>
    <w:family w:val="auto"/>
    <w:pitch w:val="default"/>
    <w:sig w:usb0="00000000" w:usb1="00000000" w:usb2="00000029" w:usb3="00000000" w:csb0="600001FF" w:csb1="FFFF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zNDlhNzU4Y2YyZWNmNTI1ODkzOThhMTkyODJjOTMifQ=="/>
  </w:docVars>
  <w:rsids>
    <w:rsidRoot w:val="00000000"/>
    <w:rsid w:val="2B3739C5"/>
    <w:rsid w:val="4ACB3E72"/>
    <w:rsid w:val="78D9614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270</Words>
  <Characters>383</Characters>
  <Lines>0</Lines>
  <Paragraphs>0</Paragraphs>
  <TotalTime>991</TotalTime>
  <ScaleCrop>false</ScaleCrop>
  <LinksUpToDate>false</LinksUpToDate>
  <CharactersWithSpaces>425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2024-07-03T08:31:33Z</dcterms:created>
  <dc:creator>Administrator</dc:creator>
  <cp:lastModifiedBy>毛豆呀</cp:lastModifiedBy>
  <cp:lastPrinted>2024-07-04T00:42:13Z</cp:lastPrinted>
  <dcterms:modified xsi:type="dcterms:W3CDTF">2024-07-05T09:16:55Z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1DA9B10D11FC42DF8F7D3B3B337F3C48_13</vt:lpwstr>
  </property>
</Properties>
</file>